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bookmarkStart w:id="0" w:name="_GoBack"/>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77777777" w:rsidR="00FC378E" w:rsidRPr="001054E7" w:rsidRDefault="00FC378E" w:rsidP="00FC378E">
      <w:pPr>
        <w:autoSpaceDE w:val="0"/>
        <w:autoSpaceDN w:val="0"/>
        <w:snapToGrid w:val="0"/>
        <w:rPr>
          <w:rFonts w:hAnsi="ＭＳ ゴシック"/>
          <w:sz w:val="21"/>
          <w:szCs w:val="21"/>
        </w:rPr>
      </w:pPr>
      <w:r w:rsidRPr="001054E7">
        <w:rPr>
          <w:rFonts w:hAnsi="ＭＳ ゴシック" w:hint="eastAsia"/>
          <w:sz w:val="21"/>
          <w:szCs w:val="21"/>
        </w:rPr>
        <w:t>（委員会名）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r w:rsidRPr="001054E7">
              <w:rPr>
                <w:rFonts w:hAnsi="ＭＳ ゴシック" w:cs="ＭＳ 明朝"/>
                <w:sz w:val="20"/>
                <w:szCs w:val="20"/>
              </w:rPr>
              <w:t>j</w:t>
            </w:r>
            <w:r w:rsidR="00B07D4A" w:rsidRPr="001054E7">
              <w:rPr>
                <w:rFonts w:hAnsi="ＭＳ ゴシック" w:cs="ＭＳ 明朝"/>
                <w:sz w:val="20"/>
                <w:szCs w:val="20"/>
              </w:rPr>
              <w:t>RCT番号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bookmarkEnd w:id="0"/>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F5084"/>
    <w:rsid w:val="007C32A5"/>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E912E18C088F4BBBBD8407CD3F5F4D" ma:contentTypeVersion="2" ma:contentTypeDescription="新しいドキュメントを作成します。" ma:contentTypeScope="" ma:versionID="21cf3bd03e74a29ab4f70671bfaef782">
  <xsd:schema xmlns:xsd="http://www.w3.org/2001/XMLSchema" xmlns:xs="http://www.w3.org/2001/XMLSchema" xmlns:p="http://schemas.microsoft.com/office/2006/metadata/properties" xmlns:ns2="8572a640-7697-4450-887c-1bf5be6551d8" targetNamespace="http://schemas.microsoft.com/office/2006/metadata/properties" ma:root="true" ma:fieldsID="e23d288b7751a2096b2252a08bcbc2b2" ns2:_="">
    <xsd:import namespace="8572a640-7697-4450-887c-1bf5be6551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a640-7697-4450-887c-1bf5be655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customXml/itemProps2.xml><?xml version="1.0" encoding="utf-8"?>
<ds:datastoreItem xmlns:ds="http://schemas.openxmlformats.org/officeDocument/2006/customXml" ds:itemID="{0F2BD375-B7BE-4EA0-ACC2-9AC29AF4FC2C}"/>
</file>

<file path=customXml/itemProps3.xml><?xml version="1.0" encoding="utf-8"?>
<ds:datastoreItem xmlns:ds="http://schemas.openxmlformats.org/officeDocument/2006/customXml" ds:itemID="{A89750E8-EDCE-4199-AB9B-1834721B26D7}"/>
</file>

<file path=customXml/itemProps4.xml><?xml version="1.0" encoding="utf-8"?>
<ds:datastoreItem xmlns:ds="http://schemas.openxmlformats.org/officeDocument/2006/customXml" ds:itemID="{D8F5BDCB-E47B-4FC1-8ED2-A79D3E4B5667}"/>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1573</Characters>
  <Application>Microsoft Office Word</Application>
  <DocSecurity>0</DocSecurity>
  <Lines>13</Lines>
  <Paragraphs>3</Paragraphs>
  <ScaleCrop>false</ScaleCrop>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2019-03-26T00:56:00Z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0x0101008EE912E18C088F4BBBBD8407CD3F5F4D</vt:lpwstr>
  </property>
</Properties>
</file>